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30" w:rsidRDefault="005F7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5F7330" w:rsidRDefault="005F7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F7330" w:rsidRDefault="005F7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V2 Fyrgång - A-final</w:t>
      </w:r>
    </w:p>
    <w:p w:rsidR="005F7330" w:rsidRDefault="005F7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5F7330" w:rsidRDefault="005F73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B klass</w:t>
      </w:r>
    </w:p>
    <w:p w:rsidR="005F7330" w:rsidRDefault="005F7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F7330" w:rsidRDefault="005F7330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5F7330" w:rsidRDefault="005F733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5F7330" w:rsidRDefault="005F733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021</w:t>
      </w:r>
      <w:r>
        <w:rPr>
          <w:rFonts w:ascii="Arial" w:hAnsi="Arial" w:cs="Arial"/>
          <w:b/>
          <w:bCs/>
        </w:rPr>
        <w:tab/>
        <w:t>Andrine Reichel [J]</w:t>
      </w:r>
    </w:p>
    <w:p w:rsidR="005F7330" w:rsidRDefault="005F733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Raell fra Vatnsleysu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5,60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6,00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6,00</w:t>
      </w:r>
    </w:p>
    <w:p w:rsidR="005F7330" w:rsidRDefault="005F733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023</w:t>
      </w:r>
      <w:r>
        <w:rPr>
          <w:rFonts w:ascii="Arial" w:hAnsi="Arial" w:cs="Arial"/>
          <w:b/>
          <w:bCs/>
        </w:rPr>
        <w:tab/>
        <w:t>Marianne Björklund</w:t>
      </w:r>
    </w:p>
    <w:p w:rsidR="005F7330" w:rsidRDefault="005F733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Sindri från Nissbila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5,25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6,00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5,75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5F7330" w:rsidRDefault="005F733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001</w:t>
      </w:r>
      <w:r>
        <w:rPr>
          <w:rFonts w:ascii="Arial" w:hAnsi="Arial" w:cs="Arial"/>
          <w:b/>
          <w:bCs/>
        </w:rPr>
        <w:tab/>
        <w:t>My Backman [J]</w:t>
      </w:r>
    </w:p>
    <w:p w:rsidR="005F7330" w:rsidRDefault="005F733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Birkir från Rälta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5,10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5F7330" w:rsidRDefault="005F733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016</w:t>
      </w:r>
      <w:r>
        <w:rPr>
          <w:rFonts w:ascii="Arial" w:hAnsi="Arial" w:cs="Arial"/>
          <w:b/>
          <w:bCs/>
        </w:rPr>
        <w:tab/>
        <w:t>Theres Björklund Aspelin</w:t>
      </w:r>
    </w:p>
    <w:p w:rsidR="005F7330" w:rsidRDefault="005F733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Loftur frá Leirulaek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4,50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5F7330" w:rsidRDefault="005F733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5F7330" w:rsidRDefault="005F7330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5F7330" w:rsidRDefault="005F733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F7330" w:rsidRDefault="005F733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21:09:13</w:t>
      </w:r>
    </w:p>
    <w:p w:rsidR="005F7330" w:rsidRDefault="005F733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5F7330" w:rsidRDefault="005F733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5F7330" w:rsidRDefault="005F733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F7330" w:rsidRDefault="005F733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5F7330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30"/>
    <w:rsid w:val="005F7330"/>
    <w:rsid w:val="00E0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D0EC1D-FBB2-4AA9-8F95-B3DFA0B2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2017-10-04T19:40:00Z</dcterms:created>
  <dcterms:modified xsi:type="dcterms:W3CDTF">2017-10-04T19:40:00Z</dcterms:modified>
</cp:coreProperties>
</file>